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 w:rightChars="-3"/>
        <w:rPr>
          <w:rFonts w:ascii="仿宋" w:hAnsi="仿宋" w:eastAsia="仿宋"/>
          <w:color w:val="auto"/>
          <w:sz w:val="32"/>
          <w:szCs w:val="28"/>
        </w:rPr>
      </w:pPr>
      <w:r>
        <w:rPr>
          <w:rFonts w:hint="eastAsia" w:ascii="仿宋" w:hAnsi="仿宋" w:eastAsia="仿宋"/>
          <w:color w:val="auto"/>
          <w:sz w:val="32"/>
          <w:szCs w:val="28"/>
        </w:rPr>
        <w:t>附件</w:t>
      </w:r>
      <w:r>
        <w:rPr>
          <w:rFonts w:hint="eastAsia" w:ascii="仿宋" w:hAnsi="仿宋" w:eastAsia="仿宋"/>
          <w:color w:val="auto"/>
          <w:sz w:val="32"/>
          <w:szCs w:val="28"/>
          <w:lang w:val="en-US" w:eastAsia="zh-CN"/>
        </w:rPr>
        <w:t>1</w:t>
      </w:r>
      <w:r>
        <w:rPr>
          <w:rFonts w:hint="eastAsia" w:ascii="仿宋" w:hAnsi="仿宋" w:eastAsia="仿宋"/>
          <w:color w:val="auto"/>
          <w:sz w:val="32"/>
          <w:szCs w:val="28"/>
        </w:rPr>
        <w:t>：</w:t>
      </w:r>
    </w:p>
    <w:p>
      <w:pPr>
        <w:spacing w:line="360" w:lineRule="auto"/>
        <w:ind w:right="-6" w:rightChars="-3" w:firstLine="565" w:firstLineChars="128"/>
        <w:jc w:val="center"/>
        <w:rPr>
          <w:rFonts w:ascii="仿宋" w:hAnsi="仿宋" w:eastAsia="仿宋"/>
          <w:b/>
          <w:color w:val="auto"/>
          <w:sz w:val="44"/>
          <w:szCs w:val="28"/>
        </w:rPr>
      </w:pPr>
      <w:bookmarkStart w:id="0" w:name="_GoBack"/>
      <w:r>
        <w:rPr>
          <w:rFonts w:hint="eastAsia" w:ascii="仿宋" w:hAnsi="仿宋" w:eastAsia="仿宋"/>
          <w:b/>
          <w:color w:val="auto"/>
          <w:sz w:val="44"/>
          <w:szCs w:val="28"/>
        </w:rPr>
        <w:t>板集电厂固废物概况</w:t>
      </w:r>
    </w:p>
    <w:bookmarkEnd w:id="0"/>
    <w:p>
      <w:pPr>
        <w:spacing w:line="360" w:lineRule="auto"/>
        <w:ind w:right="-6" w:rightChars="-3" w:firstLine="358" w:firstLineChars="1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一、炉渣概况：</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板集电厂共有</w:t>
      </w:r>
      <w:r>
        <w:rPr>
          <w:rFonts w:asciiTheme="minorEastAsia" w:hAnsiTheme="minorEastAsia" w:eastAsiaTheme="minorEastAsia"/>
          <w:color w:val="auto"/>
          <w:sz w:val="28"/>
          <w:szCs w:val="28"/>
        </w:rPr>
        <w:t>2</w:t>
      </w:r>
      <w:r>
        <w:rPr>
          <w:rFonts w:hint="eastAsia" w:asciiTheme="minorEastAsia" w:hAnsiTheme="minorEastAsia" w:eastAsiaTheme="minorEastAsia"/>
          <w:color w:val="auto"/>
          <w:sz w:val="28"/>
          <w:szCs w:val="28"/>
        </w:rPr>
        <w:t>台</w:t>
      </w:r>
      <w:r>
        <w:rPr>
          <w:rFonts w:asciiTheme="minorEastAsia" w:hAnsiTheme="minorEastAsia" w:eastAsiaTheme="minorEastAsia"/>
          <w:color w:val="auto"/>
          <w:sz w:val="28"/>
          <w:szCs w:val="28"/>
        </w:rPr>
        <w:t>100</w:t>
      </w:r>
      <w:r>
        <w:rPr>
          <w:rFonts w:hint="eastAsia" w:asciiTheme="minorEastAsia" w:hAnsiTheme="minorEastAsia" w:eastAsiaTheme="minorEastAsia"/>
          <w:color w:val="auto"/>
          <w:sz w:val="28"/>
          <w:szCs w:val="28"/>
        </w:rPr>
        <w:t>万</w:t>
      </w:r>
      <w:r>
        <w:rPr>
          <w:rFonts w:asciiTheme="minorEastAsia" w:hAnsiTheme="minorEastAsia" w:eastAsiaTheme="minorEastAsia"/>
          <w:color w:val="auto"/>
          <w:sz w:val="28"/>
          <w:szCs w:val="28"/>
        </w:rPr>
        <w:t>MW</w:t>
      </w:r>
      <w:r>
        <w:rPr>
          <w:rFonts w:hint="eastAsia" w:asciiTheme="minorEastAsia" w:hAnsiTheme="minorEastAsia" w:eastAsiaTheme="minorEastAsia"/>
          <w:color w:val="auto"/>
          <w:sz w:val="28"/>
          <w:szCs w:val="28"/>
        </w:rPr>
        <w:t>燃煤锅炉。渣仓每炉设置</w:t>
      </w:r>
      <w:r>
        <w:rPr>
          <w:rFonts w:asciiTheme="minorEastAsia" w:hAnsiTheme="minorEastAsia" w:eastAsiaTheme="minorEastAsia"/>
          <w:color w:val="auto"/>
          <w:sz w:val="28"/>
          <w:szCs w:val="28"/>
        </w:rPr>
        <w:t xml:space="preserve"> 1 </w:t>
      </w:r>
      <w:r>
        <w:rPr>
          <w:rFonts w:hint="eastAsia" w:asciiTheme="minorEastAsia" w:hAnsiTheme="minorEastAsia" w:eastAsiaTheme="minorEastAsia"/>
          <w:color w:val="auto"/>
          <w:sz w:val="28"/>
          <w:szCs w:val="28"/>
        </w:rPr>
        <w:t>座，有效容积</w:t>
      </w:r>
      <w:r>
        <w:rPr>
          <w:rFonts w:asciiTheme="minorEastAsia" w:hAnsiTheme="minorEastAsia" w:eastAsiaTheme="minorEastAsia"/>
          <w:color w:val="auto"/>
          <w:sz w:val="28"/>
          <w:szCs w:val="28"/>
        </w:rPr>
        <w:t xml:space="preserve"> 210m</w:t>
      </w:r>
      <w:r>
        <w:rPr>
          <w:rFonts w:hint="eastAsia" w:cs="宋体" w:asciiTheme="minorEastAsia" w:hAnsiTheme="minorEastAsia" w:eastAsiaTheme="minorEastAsia"/>
          <w:color w:val="auto"/>
          <w:sz w:val="28"/>
          <w:szCs w:val="28"/>
        </w:rPr>
        <w:t>³</w:t>
      </w:r>
      <w:r>
        <w:rPr>
          <w:rFonts w:hint="eastAsia" w:asciiTheme="minorEastAsia" w:hAnsiTheme="minorEastAsia" w:eastAsiaTheme="minorEastAsia"/>
          <w:color w:val="auto"/>
          <w:sz w:val="28"/>
          <w:szCs w:val="28"/>
        </w:rPr>
        <w:t>，直径</w:t>
      </w:r>
      <w:r>
        <w:rPr>
          <w:rFonts w:asciiTheme="minorEastAsia" w:hAnsiTheme="minorEastAsia" w:eastAsiaTheme="minorEastAsia"/>
          <w:color w:val="auto"/>
          <w:sz w:val="28"/>
          <w:szCs w:val="28"/>
        </w:rPr>
        <w:t>8m</w:t>
      </w:r>
      <w:r>
        <w:rPr>
          <w:rFonts w:hint="eastAsia" w:asciiTheme="minorEastAsia" w:hAnsiTheme="minorEastAsia" w:eastAsiaTheme="minorEastAsia"/>
          <w:color w:val="auto"/>
          <w:sz w:val="28"/>
          <w:szCs w:val="28"/>
        </w:rPr>
        <w:t>，可储存一台锅炉满负荷运行时约</w:t>
      </w:r>
      <w:r>
        <w:rPr>
          <w:rFonts w:asciiTheme="minorEastAsia" w:hAnsiTheme="minorEastAsia" w:eastAsiaTheme="minorEastAsia"/>
          <w:color w:val="auto"/>
          <w:sz w:val="28"/>
          <w:szCs w:val="28"/>
        </w:rPr>
        <w:t xml:space="preserve"> 48 </w:t>
      </w:r>
      <w:r>
        <w:rPr>
          <w:rFonts w:hint="eastAsia" w:asciiTheme="minorEastAsia" w:hAnsiTheme="minorEastAsia" w:eastAsiaTheme="minorEastAsia"/>
          <w:color w:val="auto"/>
          <w:sz w:val="28"/>
          <w:szCs w:val="28"/>
        </w:rPr>
        <w:t>小时的排渣量，可在渣仓下直接装车运走，全年预计产出</w:t>
      </w:r>
      <w:r>
        <w:rPr>
          <w:rFonts w:asciiTheme="minorEastAsia" w:hAnsiTheme="minorEastAsia" w:eastAsiaTheme="minorEastAsia"/>
          <w:color w:val="auto"/>
          <w:sz w:val="28"/>
          <w:szCs w:val="28"/>
        </w:rPr>
        <w:t>20</w:t>
      </w:r>
      <w:r>
        <w:rPr>
          <w:rFonts w:hint="eastAsia" w:asciiTheme="minorEastAsia" w:hAnsiTheme="minorEastAsia" w:eastAsiaTheme="minorEastAsia"/>
          <w:color w:val="auto"/>
          <w:sz w:val="28"/>
          <w:szCs w:val="28"/>
        </w:rPr>
        <w:t>万吨。</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放渣操作由供应方负责，该品类的战略合作商负责两台机组炉渣自渣仓放渣口以后的所有责任及义务，包括但不限于：确保及时、安全、无散落、无扬尘的运出厂区，不在厂区内落地倒运；确保外运及处置过程中安全运输、符合环保及路政管理要求、负责协调处理拉运沿途周边工农关系、协调环保、路政等监管部门及其它事项，承担全过程安全及行政处罚责任，承担放料仓内外地面的清扫工作。</w:t>
      </w:r>
      <w:r>
        <w:rPr>
          <w:rFonts w:asciiTheme="minorEastAsia" w:hAnsiTheme="minorEastAsia" w:eastAsiaTheme="minorEastAsia"/>
          <w:color w:val="auto"/>
          <w:sz w:val="28"/>
          <w:szCs w:val="28"/>
        </w:rPr>
        <w:t xml:space="preserve"> </w:t>
      </w:r>
    </w:p>
    <w:p>
      <w:pPr>
        <w:spacing w:line="360" w:lineRule="auto"/>
        <w:ind w:right="-6" w:rightChars="-3" w:firstLine="358" w:firstLineChars="1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二、粉煤灰：</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板集电厂两台锅炉排出来的飞灰，以气力输灰方式送入原灰库、粗灰库和细灰库，共设</w:t>
      </w:r>
      <w:r>
        <w:rPr>
          <w:rFonts w:asciiTheme="minorEastAsia" w:hAnsiTheme="minorEastAsia" w:eastAsiaTheme="minorEastAsia"/>
          <w:color w:val="auto"/>
          <w:sz w:val="28"/>
          <w:szCs w:val="28"/>
        </w:rPr>
        <w:t xml:space="preserve"> 1 </w:t>
      </w:r>
      <w:r>
        <w:rPr>
          <w:rFonts w:hint="eastAsia" w:asciiTheme="minorEastAsia" w:hAnsiTheme="minorEastAsia" w:eastAsiaTheme="minorEastAsia"/>
          <w:color w:val="auto"/>
          <w:sz w:val="28"/>
          <w:szCs w:val="28"/>
        </w:rPr>
        <w:t>座原灰库、</w:t>
      </w:r>
      <w:r>
        <w:rPr>
          <w:rFonts w:asciiTheme="minorEastAsia" w:hAnsiTheme="minorEastAsia" w:eastAsiaTheme="minorEastAsia"/>
          <w:color w:val="auto"/>
          <w:sz w:val="28"/>
          <w:szCs w:val="28"/>
        </w:rPr>
        <w:t xml:space="preserve">1 </w:t>
      </w:r>
      <w:r>
        <w:rPr>
          <w:rFonts w:hint="eastAsia" w:asciiTheme="minorEastAsia" w:hAnsiTheme="minorEastAsia" w:eastAsiaTheme="minorEastAsia"/>
          <w:color w:val="auto"/>
          <w:sz w:val="28"/>
          <w:szCs w:val="28"/>
        </w:rPr>
        <w:t>座粗灰库和</w:t>
      </w:r>
      <w:r>
        <w:rPr>
          <w:rFonts w:asciiTheme="minorEastAsia" w:hAnsiTheme="minorEastAsia" w:eastAsiaTheme="minorEastAsia"/>
          <w:color w:val="auto"/>
          <w:sz w:val="28"/>
          <w:szCs w:val="28"/>
        </w:rPr>
        <w:t xml:space="preserve"> 1 </w:t>
      </w:r>
      <w:r>
        <w:rPr>
          <w:rFonts w:hint="eastAsia" w:asciiTheme="minorEastAsia" w:hAnsiTheme="minorEastAsia" w:eastAsiaTheme="minorEastAsia"/>
          <w:color w:val="auto"/>
          <w:sz w:val="28"/>
          <w:szCs w:val="28"/>
        </w:rPr>
        <w:t>座细灰库，灰库直径</w:t>
      </w:r>
      <w:r>
        <w:rPr>
          <w:rFonts w:asciiTheme="minorEastAsia" w:hAnsiTheme="minorEastAsia" w:eastAsiaTheme="minorEastAsia"/>
          <w:color w:val="auto"/>
          <w:sz w:val="28"/>
          <w:szCs w:val="28"/>
        </w:rPr>
        <w:t xml:space="preserve"> 15 </w:t>
      </w:r>
      <w:r>
        <w:rPr>
          <w:rFonts w:hint="eastAsia" w:asciiTheme="minorEastAsia" w:hAnsiTheme="minorEastAsia" w:eastAsiaTheme="minorEastAsia"/>
          <w:color w:val="auto"/>
          <w:sz w:val="28"/>
          <w:szCs w:val="28"/>
        </w:rPr>
        <w:t>米，高约</w:t>
      </w:r>
      <w:r>
        <w:rPr>
          <w:rFonts w:asciiTheme="minorEastAsia" w:hAnsiTheme="minorEastAsia" w:eastAsiaTheme="minorEastAsia"/>
          <w:color w:val="auto"/>
          <w:sz w:val="28"/>
          <w:szCs w:val="28"/>
        </w:rPr>
        <w:t xml:space="preserve"> 32 </w:t>
      </w:r>
      <w:r>
        <w:rPr>
          <w:rFonts w:hint="eastAsia" w:asciiTheme="minorEastAsia" w:hAnsiTheme="minorEastAsia" w:eastAsiaTheme="minorEastAsia"/>
          <w:color w:val="auto"/>
          <w:sz w:val="28"/>
          <w:szCs w:val="28"/>
        </w:rPr>
        <w:t>米，有效容积约</w:t>
      </w:r>
      <w:r>
        <w:rPr>
          <w:rFonts w:asciiTheme="minorEastAsia" w:hAnsiTheme="minorEastAsia" w:eastAsiaTheme="minorEastAsia"/>
          <w:color w:val="auto"/>
          <w:sz w:val="28"/>
          <w:szCs w:val="28"/>
        </w:rPr>
        <w:t xml:space="preserve"> 3060 </w:t>
      </w:r>
      <w:r>
        <w:rPr>
          <w:rFonts w:hint="eastAsia" w:asciiTheme="minorEastAsia" w:hAnsiTheme="minorEastAsia" w:eastAsiaTheme="minorEastAsia"/>
          <w:color w:val="auto"/>
          <w:sz w:val="28"/>
          <w:szCs w:val="28"/>
        </w:rPr>
        <w:t>米。</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粉煤灰为干灰和拌湿灰，发电量及煤质发生变化时标的物产量随之发生变化，全年约产出干灰</w:t>
      </w:r>
      <w:r>
        <w:rPr>
          <w:rFonts w:asciiTheme="minorEastAsia" w:hAnsiTheme="minorEastAsia" w:eastAsiaTheme="minorEastAsia"/>
          <w:color w:val="auto"/>
          <w:sz w:val="28"/>
          <w:szCs w:val="28"/>
        </w:rPr>
        <w:t>100</w:t>
      </w:r>
      <w:r>
        <w:rPr>
          <w:rFonts w:hint="eastAsia" w:asciiTheme="minorEastAsia" w:hAnsiTheme="minorEastAsia" w:eastAsiaTheme="minorEastAsia"/>
          <w:color w:val="auto"/>
          <w:sz w:val="28"/>
          <w:szCs w:val="28"/>
        </w:rPr>
        <w:t>万吨，湿灰</w:t>
      </w:r>
      <w:r>
        <w:rPr>
          <w:rFonts w:asciiTheme="minorEastAsia" w:hAnsiTheme="minorEastAsia" w:eastAsiaTheme="minorEastAsia"/>
          <w:color w:val="auto"/>
          <w:sz w:val="28"/>
          <w:szCs w:val="28"/>
        </w:rPr>
        <w:t>50</w:t>
      </w:r>
      <w:r>
        <w:rPr>
          <w:rFonts w:hint="eastAsia" w:asciiTheme="minorEastAsia" w:hAnsiTheme="minorEastAsia" w:eastAsiaTheme="minorEastAsia"/>
          <w:color w:val="auto"/>
          <w:sz w:val="28"/>
          <w:szCs w:val="28"/>
        </w:rPr>
        <w:t>万吨。</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战略合作商负责并支付包括但不限于粉煤灰的装载、运输、处置费用、专用车辆的配置费用，并负责以下事项：</w:t>
      </w:r>
    </w:p>
    <w:p>
      <w:pPr>
        <w:numPr>
          <w:ilvl w:val="0"/>
          <w:numId w:val="1"/>
        </w:numPr>
        <w:spacing w:line="360" w:lineRule="auto"/>
        <w:ind w:left="0" w:right="-6" w:rightChars="-3" w:firstLine="567"/>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运输车辆空车进厂前及满载离厂前均需进行水冲洗。</w:t>
      </w:r>
    </w:p>
    <w:p>
      <w:pPr>
        <w:numPr>
          <w:ilvl w:val="0"/>
          <w:numId w:val="1"/>
        </w:numPr>
        <w:spacing w:line="360" w:lineRule="auto"/>
        <w:ind w:left="0" w:right="-6" w:rightChars="-3" w:firstLine="567"/>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在恶劣天气、销售淡季及应急处置期间，粉煤灰需运至符合环保要求的储存场地堆放，承担由此发生的运输、堆放、销售和车辆、人员的闲置费用。</w:t>
      </w:r>
    </w:p>
    <w:p>
      <w:pPr>
        <w:numPr>
          <w:ilvl w:val="0"/>
          <w:numId w:val="1"/>
        </w:numPr>
        <w:spacing w:line="360" w:lineRule="auto"/>
        <w:ind w:left="0" w:right="-6" w:rightChars="-3" w:firstLine="567"/>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保证运灰渣车辆的密封，不得外泄污染环境，并承担厂外运灰道路范围内由于灰渣车辆造成环境污染发生的费用</w:t>
      </w:r>
    </w:p>
    <w:p>
      <w:pPr>
        <w:numPr>
          <w:ilvl w:val="0"/>
          <w:numId w:val="1"/>
        </w:numPr>
        <w:spacing w:line="360" w:lineRule="auto"/>
        <w:ind w:left="0" w:right="-6" w:rightChars="-3" w:firstLine="567"/>
        <w:rPr>
          <w:rFonts w:hint="eastAsia"/>
        </w:rPr>
      </w:pPr>
      <w:r>
        <w:rPr>
          <w:rFonts w:hint="eastAsia" w:asciiTheme="minorEastAsia" w:hAnsiTheme="minorEastAsia" w:eastAsiaTheme="minorEastAsia"/>
          <w:color w:val="auto"/>
          <w:sz w:val="28"/>
          <w:szCs w:val="28"/>
        </w:rPr>
        <w:t>粉煤灰运输要求：干灰必须采用罐装车密封运输；湿灰车辆的覆盖措施必须符合国家和地方政府环保要求，不造成运输抛洒污染。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34E24"/>
    <w:multiLevelType w:val="multilevel"/>
    <w:tmpl w:val="13C34E24"/>
    <w:lvl w:ilvl="0" w:tentative="0">
      <w:start w:val="1"/>
      <w:numFmt w:val="decimal"/>
      <w:lvlText w:val="%1、"/>
      <w:lvlJc w:val="left"/>
      <w:pPr>
        <w:ind w:left="1130" w:hanging="720"/>
      </w:pPr>
      <w:rPr>
        <w:rFonts w:hint="default" w:cs="Times New Roman"/>
      </w:rPr>
    </w:lvl>
    <w:lvl w:ilvl="1" w:tentative="0">
      <w:start w:val="1"/>
      <w:numFmt w:val="lowerLetter"/>
      <w:lvlText w:val="%2)"/>
      <w:lvlJc w:val="left"/>
      <w:pPr>
        <w:ind w:left="1250" w:hanging="420"/>
      </w:pPr>
      <w:rPr>
        <w:rFonts w:cs="Times New Roman"/>
      </w:rPr>
    </w:lvl>
    <w:lvl w:ilvl="2" w:tentative="0">
      <w:start w:val="1"/>
      <w:numFmt w:val="lowerRoman"/>
      <w:lvlText w:val="%3."/>
      <w:lvlJc w:val="right"/>
      <w:pPr>
        <w:ind w:left="1670" w:hanging="420"/>
      </w:pPr>
      <w:rPr>
        <w:rFonts w:cs="Times New Roman"/>
      </w:rPr>
    </w:lvl>
    <w:lvl w:ilvl="3" w:tentative="0">
      <w:start w:val="1"/>
      <w:numFmt w:val="decimal"/>
      <w:lvlText w:val="%4."/>
      <w:lvlJc w:val="left"/>
      <w:pPr>
        <w:ind w:left="2090" w:hanging="420"/>
      </w:pPr>
      <w:rPr>
        <w:rFonts w:cs="Times New Roman"/>
      </w:rPr>
    </w:lvl>
    <w:lvl w:ilvl="4" w:tentative="0">
      <w:start w:val="1"/>
      <w:numFmt w:val="lowerLetter"/>
      <w:lvlText w:val="%5)"/>
      <w:lvlJc w:val="left"/>
      <w:pPr>
        <w:ind w:left="2510" w:hanging="420"/>
      </w:pPr>
      <w:rPr>
        <w:rFonts w:cs="Times New Roman"/>
      </w:rPr>
    </w:lvl>
    <w:lvl w:ilvl="5" w:tentative="0">
      <w:start w:val="1"/>
      <w:numFmt w:val="lowerRoman"/>
      <w:lvlText w:val="%6."/>
      <w:lvlJc w:val="right"/>
      <w:pPr>
        <w:ind w:left="2930" w:hanging="420"/>
      </w:pPr>
      <w:rPr>
        <w:rFonts w:cs="Times New Roman"/>
      </w:rPr>
    </w:lvl>
    <w:lvl w:ilvl="6" w:tentative="0">
      <w:start w:val="1"/>
      <w:numFmt w:val="decimal"/>
      <w:lvlText w:val="%7."/>
      <w:lvlJc w:val="left"/>
      <w:pPr>
        <w:ind w:left="3350" w:hanging="420"/>
      </w:pPr>
      <w:rPr>
        <w:rFonts w:cs="Times New Roman"/>
      </w:rPr>
    </w:lvl>
    <w:lvl w:ilvl="7" w:tentative="0">
      <w:start w:val="1"/>
      <w:numFmt w:val="lowerLetter"/>
      <w:lvlText w:val="%8)"/>
      <w:lvlJc w:val="left"/>
      <w:pPr>
        <w:ind w:left="3770" w:hanging="420"/>
      </w:pPr>
      <w:rPr>
        <w:rFonts w:cs="Times New Roman"/>
      </w:rPr>
    </w:lvl>
    <w:lvl w:ilvl="8" w:tentative="0">
      <w:start w:val="1"/>
      <w:numFmt w:val="lowerRoman"/>
      <w:lvlText w:val="%9."/>
      <w:lvlJc w:val="right"/>
      <w:pPr>
        <w:ind w:left="41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Njk0Y2ZjMGZiMjJjZGJmMGJlNjZlZWUxOGYwNWEifQ=="/>
  </w:docVars>
  <w:rsids>
    <w:rsidRoot w:val="00000000"/>
    <w:rsid w:val="24C20882"/>
    <w:rsid w:val="2788787E"/>
    <w:rsid w:val="548E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914</Words>
  <Characters>933</Characters>
  <Lines>0</Lines>
  <Paragraphs>0</Paragraphs>
  <TotalTime>0</TotalTime>
  <ScaleCrop>false</ScaleCrop>
  <LinksUpToDate>false</LinksUpToDate>
  <CharactersWithSpaces>953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2023-06-29T07:32:00Z</dcterms:created>
  <dc:creator>Administrator</dc:creator>
  <cp:lastModifiedBy>孤烟</cp:lastModifiedBy>
  <cp:lastPrinted>2024-04-09T01:45:25Z</cp:lastPrinted>
  <dcterms:modified xsi:type="dcterms:W3CDTF">2024-04-09T01:47:11Z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45FCBC3375AF480DB9719F8CABC38983_13</vt:lpwstr>
  </property>
</Properties>
</file>